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8416" w14:textId="77777777" w:rsidR="005764BC" w:rsidRPr="005764BC" w:rsidRDefault="005764BC" w:rsidP="005764BC">
      <w:pPr>
        <w:rPr>
          <w:rFonts w:ascii="Times New Roman" w:eastAsia="Calibri" w:hAnsi="Times New Roman" w:cs="Times New Roman"/>
          <w:b/>
          <w:sz w:val="28"/>
          <w:szCs w:val="20"/>
          <w:lang w:val="uk-UA"/>
        </w:rPr>
      </w:pPr>
      <w:r w:rsidRPr="005764BC">
        <w:rPr>
          <w:rFonts w:ascii="Times New Roman" w:eastAsia="Calibri" w:hAnsi="Times New Roman" w:cs="Times New Roman"/>
          <w:b/>
          <w:sz w:val="28"/>
          <w:szCs w:val="20"/>
          <w:lang w:val="uk-UA"/>
        </w:rPr>
        <w:t>Душпастирство в дієцезіях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2216"/>
        <w:gridCol w:w="2604"/>
        <w:gridCol w:w="2410"/>
        <w:gridCol w:w="1842"/>
        <w:gridCol w:w="1843"/>
      </w:tblGrid>
      <w:tr w:rsidR="005764BC" w:rsidRPr="00216943" w14:paraId="4F171451" w14:textId="77777777" w:rsidTr="007D5726">
        <w:trPr>
          <w:trHeight w:val="543"/>
        </w:trPr>
        <w:tc>
          <w:tcPr>
            <w:tcW w:w="1271" w:type="dxa"/>
            <w:tcBorders>
              <w:bottom w:val="single" w:sz="4" w:space="0" w:color="auto"/>
            </w:tcBorders>
          </w:tcPr>
          <w:p w14:paraId="4DA2315C" w14:textId="7777777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ВИКЛИКИ</w:t>
            </w:r>
          </w:p>
          <w:p w14:paraId="624C6971" w14:textId="7777777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Cs/>
                <w:color w:val="2F5496" w:themeColor="accent1" w:themeShade="BF"/>
                <w:lang w:val="uk-UA"/>
              </w:rPr>
            </w:pPr>
            <w:r w:rsidRPr="005764BC">
              <w:rPr>
                <w:rFonts w:ascii="Bahnschrift SemiBold SemiConden" w:eastAsia="Calibri" w:hAnsi="Bahnschrift SemiBold SemiConden" w:cs="Times New Roman"/>
                <w:bCs/>
                <w:color w:val="2F5496" w:themeColor="accent1" w:themeShade="BF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75F7C8" w14:textId="7777777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ЦІЛІ</w:t>
            </w:r>
          </w:p>
          <w:p w14:paraId="50AF846E" w14:textId="706B345F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Cs/>
                <w:color w:val="2F5496" w:themeColor="accent1" w:themeShade="BF"/>
                <w:lang w:val="uk-UA"/>
              </w:rPr>
            </w:pPr>
          </w:p>
        </w:tc>
        <w:tc>
          <w:tcPr>
            <w:tcW w:w="1984" w:type="dxa"/>
          </w:tcPr>
          <w:p w14:paraId="78784274" w14:textId="77777777" w:rsidR="005764BC" w:rsidRPr="005764BC" w:rsidRDefault="005764BC" w:rsidP="005764BC">
            <w:pPr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ЗАВДАННЯ</w:t>
            </w:r>
          </w:p>
          <w:p w14:paraId="389A5BD2" w14:textId="5BC5018B" w:rsidR="005764BC" w:rsidRPr="005764BC" w:rsidRDefault="005764BC" w:rsidP="005764BC">
            <w:pPr>
              <w:rPr>
                <w:rFonts w:ascii="Bahnschrift SemiBold SemiConden" w:eastAsia="Calibri" w:hAnsi="Bahnschrift SemiBold SemiConden" w:cs="Times New Roman"/>
                <w:bCs/>
                <w:color w:val="2F5496" w:themeColor="accent1" w:themeShade="BF"/>
                <w:lang w:val="uk-UA"/>
              </w:rPr>
            </w:pPr>
          </w:p>
        </w:tc>
        <w:tc>
          <w:tcPr>
            <w:tcW w:w="2216" w:type="dxa"/>
          </w:tcPr>
          <w:p w14:paraId="14C14E8D" w14:textId="7777777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ДІЇ</w:t>
            </w:r>
            <w:r w:rsidRPr="005764BC"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  <w:t xml:space="preserve"> 2024 </w:t>
            </w:r>
          </w:p>
          <w:p w14:paraId="56EF20BB" w14:textId="2FD9140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color w:val="2F5496" w:themeColor="accent1" w:themeShade="BF"/>
                <w:lang w:val="uk-UA"/>
              </w:rPr>
            </w:pPr>
          </w:p>
        </w:tc>
        <w:tc>
          <w:tcPr>
            <w:tcW w:w="2604" w:type="dxa"/>
          </w:tcPr>
          <w:p w14:paraId="2EC797E7" w14:textId="7777777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ДІЇ</w:t>
            </w:r>
            <w:r w:rsidRPr="005764BC"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  <w:t xml:space="preserve">  2025</w:t>
            </w:r>
          </w:p>
          <w:p w14:paraId="3A1B36F6" w14:textId="35E224EA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2410" w:type="dxa"/>
          </w:tcPr>
          <w:p w14:paraId="41183E21" w14:textId="7777777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ДІЇ</w:t>
            </w:r>
            <w:r w:rsidRPr="005764BC"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  <w:t xml:space="preserve"> 2026</w:t>
            </w:r>
          </w:p>
          <w:p w14:paraId="5A144BC2" w14:textId="3FAEECB7" w:rsidR="005764BC" w:rsidRPr="005764BC" w:rsidRDefault="005764BC" w:rsidP="005764BC">
            <w:pPr>
              <w:jc w:val="center"/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1842" w:type="dxa"/>
          </w:tcPr>
          <w:p w14:paraId="57AB2E29" w14:textId="77777777" w:rsidR="005764BC" w:rsidRPr="005764BC" w:rsidRDefault="005764BC" w:rsidP="005764BC">
            <w:pPr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ІНДИКАТОРИ</w:t>
            </w:r>
            <w:r w:rsidRPr="005764BC"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  <w:t xml:space="preserve"> </w:t>
            </w: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ДОСЯГНЕННЯ</w:t>
            </w:r>
          </w:p>
        </w:tc>
        <w:tc>
          <w:tcPr>
            <w:tcW w:w="1843" w:type="dxa"/>
          </w:tcPr>
          <w:p w14:paraId="5D16CF2F" w14:textId="77777777" w:rsidR="005764BC" w:rsidRPr="005764BC" w:rsidRDefault="005764BC" w:rsidP="005764BC">
            <w:pPr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</w:pPr>
            <w:r w:rsidRPr="005764BC">
              <w:rPr>
                <w:rFonts w:ascii="Calibri" w:eastAsia="Calibri" w:hAnsi="Calibri" w:cs="Calibri"/>
                <w:b/>
                <w:color w:val="2F5496" w:themeColor="accent1" w:themeShade="BF"/>
                <w:lang w:val="uk-UA"/>
              </w:rPr>
              <w:t>ВІДПОВІДАЛЬНІ</w:t>
            </w:r>
            <w:r w:rsidRPr="005764BC">
              <w:rPr>
                <w:rFonts w:ascii="Bahnschrift SemiBold SemiConden" w:eastAsia="Calibri" w:hAnsi="Bahnschrift SemiBold SemiConden" w:cs="Times New Roman"/>
                <w:b/>
                <w:color w:val="2F5496" w:themeColor="accent1" w:themeShade="BF"/>
                <w:lang w:val="uk-UA"/>
              </w:rPr>
              <w:t xml:space="preserve"> </w:t>
            </w:r>
          </w:p>
        </w:tc>
      </w:tr>
      <w:tr w:rsidR="005764BC" w:rsidRPr="00216943" w14:paraId="162A7094" w14:textId="77777777" w:rsidTr="007D5726">
        <w:trPr>
          <w:trHeight w:val="2077"/>
        </w:trPr>
        <w:tc>
          <w:tcPr>
            <w:tcW w:w="1271" w:type="dxa"/>
            <w:vMerge w:val="restart"/>
          </w:tcPr>
          <w:p w14:paraId="437343E3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Відсутність авторитету душпастиря молоді серед священиків дієцезії</w:t>
            </w:r>
          </w:p>
        </w:tc>
        <w:tc>
          <w:tcPr>
            <w:tcW w:w="1276" w:type="dxa"/>
            <w:vMerge w:val="restart"/>
          </w:tcPr>
          <w:p w14:paraId="38003AD9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Зміцнення авторитету душпастиря</w:t>
            </w:r>
          </w:p>
        </w:tc>
        <w:tc>
          <w:tcPr>
            <w:tcW w:w="1984" w:type="dxa"/>
            <w:vMerge w:val="restart"/>
          </w:tcPr>
          <w:p w14:paraId="7BDE796F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Збільшити вплив дієцезіального душпастиря на священиків які займаються молоддю в парафіях.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20E59907" w14:textId="7926A5AC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Створити особливу пропозицію якою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може зацікавити та підтримати  священиків на парафії.</w:t>
            </w:r>
          </w:p>
          <w:p w14:paraId="232C6535" w14:textId="7845F53C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Наприклад: організація симпозіум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вибраних душпастирів та представників парафії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7933568D" w14:textId="2EDDFE0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Створити нову особливу пропозицію якою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може зацікавити та підтримати  священиків на парафії.</w:t>
            </w:r>
          </w:p>
          <w:p w14:paraId="418C572F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Наприклад: випуск спільного календаря з фото душпастирів і молоді різних дієцезій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F97892" w14:textId="6A6FB30C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Створити нову особливу пропозицію якою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може зацікавити та підтримати  священиків на парафії.</w:t>
            </w:r>
          </w:p>
          <w:p w14:paraId="6093525A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Наприклад: пропозиція безкоштовних, або дотаційних місць для участі в СДМ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CB3452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Фото та опис реалізованої пропозиції.</w:t>
            </w:r>
          </w:p>
        </w:tc>
        <w:tc>
          <w:tcPr>
            <w:tcW w:w="1843" w:type="dxa"/>
            <w:vMerge w:val="restart"/>
          </w:tcPr>
          <w:p w14:paraId="24A2D74D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О. Микола Бистрицький</w:t>
            </w:r>
          </w:p>
        </w:tc>
      </w:tr>
      <w:tr w:rsidR="005764BC" w:rsidRPr="00216943" w14:paraId="417300F9" w14:textId="77777777" w:rsidTr="007D5726">
        <w:trPr>
          <w:trHeight w:val="1115"/>
        </w:trPr>
        <w:tc>
          <w:tcPr>
            <w:tcW w:w="1271" w:type="dxa"/>
            <w:vMerge/>
          </w:tcPr>
          <w:p w14:paraId="752D9BCE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71BF16F5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AE0AF36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28AE8E59" w14:textId="15671681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Поширення через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додаткових матеріалів, що допоможу у душпастирстві.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4B97BD1B" w14:textId="5A34D0DD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Поширення через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нові додаткових матеріалів, що допоможу у душпастирстві.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E874F" w14:textId="7A3550F5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Поширення через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нові додаткових матеріалів, що допоможу у душпастирстві.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D994A6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Статистика використання запропонованих матеріалів.</w:t>
            </w:r>
          </w:p>
        </w:tc>
        <w:tc>
          <w:tcPr>
            <w:tcW w:w="1843" w:type="dxa"/>
            <w:vMerge/>
          </w:tcPr>
          <w:p w14:paraId="3A2891ED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64BC" w:rsidRPr="00474C71" w14:paraId="6CE7F0A2" w14:textId="77777777" w:rsidTr="007D5726">
        <w:trPr>
          <w:trHeight w:val="1403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73F91C0F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B64FDB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224753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Підвищити рівень компетентності дієцезіального душпастиря молоді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3D16E88F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Провести курси підвищення кваліфікації, які будуть відповіддю на складні питання у вихованні молоді.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32E492A3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Провести курси підвищення кваліфікації, які будуть відповіддю на складні питання у вихованні молоді.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DA4525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Провести курси підвищення кваліфікації, які будуть відповіддю на складні питання у вихованні молоді.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9B4C53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Спільна фотографія після проведених курсів.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CBC240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64BC" w:rsidRPr="00216943" w14:paraId="4FCF89A1" w14:textId="77777777" w:rsidTr="007D5726">
        <w:trPr>
          <w:trHeight w:val="1679"/>
        </w:trPr>
        <w:tc>
          <w:tcPr>
            <w:tcW w:w="1271" w:type="dxa"/>
            <w:vMerge w:val="restart"/>
          </w:tcPr>
          <w:p w14:paraId="19075976" w14:textId="0C7046C1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Брак </w:t>
            </w:r>
            <w:proofErr w:type="spellStart"/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міждієцезі</w:t>
            </w: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альної</w:t>
            </w:r>
            <w:proofErr w:type="spellEnd"/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взаємодії</w:t>
            </w:r>
          </w:p>
        </w:tc>
        <w:tc>
          <w:tcPr>
            <w:tcW w:w="1276" w:type="dxa"/>
            <w:vMerge w:val="restart"/>
          </w:tcPr>
          <w:p w14:paraId="49FFB8D7" w14:textId="4A571CF3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Покращити </w:t>
            </w:r>
            <w:proofErr w:type="spellStart"/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міждієцезі</w:t>
            </w: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альну</w:t>
            </w:r>
            <w:proofErr w:type="spellEnd"/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взаємодію</w:t>
            </w:r>
          </w:p>
        </w:tc>
        <w:tc>
          <w:tcPr>
            <w:tcW w:w="1984" w:type="dxa"/>
            <w:vMerge w:val="restart"/>
          </w:tcPr>
          <w:p w14:paraId="7262FA0D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Випрацювати робочу схему, яка б використовуючи інструмент взаємодії між дієцезіальними </w:t>
            </w:r>
            <w:proofErr w:type="spellStart"/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душпастирствами</w:t>
            </w:r>
            <w:proofErr w:type="spellEnd"/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покращила результати нашої праці.</w:t>
            </w:r>
          </w:p>
          <w:p w14:paraId="5A1FBEC8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0EE6D474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 рамках курсу підвищення кваліфікації, провести ділення проблемами на успіхами роботи дієцезіального душпастирства молоді.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487118CB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 рамках курсу підвищення кваліфікації, провести ділення проблемами на успіхами роботи дієцезіального душпастирства молоді.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D0F57E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 рамках курсу підвищення кваліфікації, провести ділення проблемами на успіхами роботи дієцезіального душпастирства молоді.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66C322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Присутність усіх д. д. на цьому діленні.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58B974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О. Микола Бистрицький</w:t>
            </w:r>
          </w:p>
        </w:tc>
      </w:tr>
      <w:tr w:rsidR="005764BC" w:rsidRPr="00216943" w14:paraId="61004FA5" w14:textId="77777777" w:rsidTr="007D5726">
        <w:trPr>
          <w:trHeight w:val="418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7DFD44E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0E0A6FB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15729B37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14:paraId="68B95103" w14:textId="2ED7230A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Випрацювати та шляхом голосування, прийняти рішення, як саме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будуть взаємодіяти між собою в цьому році.</w:t>
            </w:r>
          </w:p>
        </w:tc>
        <w:tc>
          <w:tcPr>
            <w:tcW w:w="2604" w:type="dxa"/>
            <w:tcBorders>
              <w:bottom w:val="single" w:sz="4" w:space="0" w:color="000000"/>
            </w:tcBorders>
          </w:tcPr>
          <w:p w14:paraId="2865DD99" w14:textId="0E67F7C0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Випрацювати та шляхом голосування, прийняти рішення, як саме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будуть взаємодіяти між собою в цьому році.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6F2F392" w14:textId="45982E4E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Випрацювати та шляхом голосування, прийняти рішення, як саме д.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д. будуть взаємодіяти між собою в цьому році.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17722B3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Участь кожного д. д. хоча б в одному заході в кожній Українській дієцезії протягом 3 років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27AEDC4" w14:textId="77777777" w:rsidR="005764BC" w:rsidRPr="005764BC" w:rsidRDefault="005764BC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764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О. Микола Бистрицький</w:t>
            </w:r>
          </w:p>
        </w:tc>
      </w:tr>
      <w:tr w:rsidR="005764BC" w:rsidRPr="005764BC" w14:paraId="600EDA02" w14:textId="77777777" w:rsidTr="007D57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2899" w:type="dxa"/>
          <w:trHeight w:val="100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14:paraId="63FC45CE" w14:textId="36A1ACA6" w:rsidR="007D5726" w:rsidRPr="005764BC" w:rsidRDefault="007D5726" w:rsidP="005764B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4CE6754" w14:textId="77777777" w:rsidR="005764BC" w:rsidRPr="005764BC" w:rsidRDefault="005764BC" w:rsidP="005764BC">
      <w:pPr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8540B08" w14:textId="242FB38F" w:rsidR="005764BC" w:rsidRPr="00216943" w:rsidRDefault="005764BC">
      <w:pPr>
        <w:rPr>
          <w:lang w:val="uk-UA"/>
        </w:rPr>
      </w:pPr>
    </w:p>
    <w:p w14:paraId="550833AA" w14:textId="36B2DBDF" w:rsidR="007D5726" w:rsidRPr="00216943" w:rsidRDefault="007D5726">
      <w:pPr>
        <w:rPr>
          <w:lang w:val="uk-UA"/>
        </w:rPr>
      </w:pPr>
    </w:p>
    <w:p w14:paraId="5FEB7B49" w14:textId="77777777" w:rsidR="007D5726" w:rsidRPr="007D5726" w:rsidRDefault="007D5726" w:rsidP="007D5726">
      <w:pPr>
        <w:rPr>
          <w:rFonts w:ascii="Times New Roman" w:eastAsia="Calibri" w:hAnsi="Times New Roman" w:cs="Times New Roman"/>
          <w:b/>
          <w:sz w:val="28"/>
          <w:szCs w:val="20"/>
          <w:lang w:val="uk-UA"/>
        </w:rPr>
      </w:pPr>
      <w:r w:rsidRPr="007D5726">
        <w:rPr>
          <w:rFonts w:ascii="Times New Roman" w:eastAsia="Calibri" w:hAnsi="Times New Roman" w:cs="Times New Roman"/>
          <w:b/>
          <w:sz w:val="28"/>
          <w:szCs w:val="20"/>
          <w:lang w:val="uk-UA"/>
        </w:rPr>
        <w:lastRenderedPageBreak/>
        <w:t>Душпастирство покликань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6"/>
        <w:gridCol w:w="2268"/>
        <w:gridCol w:w="2552"/>
        <w:gridCol w:w="2551"/>
      </w:tblGrid>
      <w:tr w:rsidR="007D5726" w:rsidRPr="00216943" w14:paraId="463FDF1B" w14:textId="77777777" w:rsidTr="00C236B0">
        <w:trPr>
          <w:trHeight w:val="196"/>
        </w:trPr>
        <w:tc>
          <w:tcPr>
            <w:tcW w:w="1413" w:type="dxa"/>
            <w:tcBorders>
              <w:bottom w:val="single" w:sz="4" w:space="0" w:color="auto"/>
            </w:tcBorders>
          </w:tcPr>
          <w:p w14:paraId="6D084694" w14:textId="42CA36AE" w:rsidR="007D5726" w:rsidRPr="007D5726" w:rsidRDefault="007D5726" w:rsidP="007D5726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ВИКЛИКИ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FD0BA3" w14:textId="483D79CA" w:rsidR="007D5726" w:rsidRPr="007D5726" w:rsidRDefault="007D5726" w:rsidP="007D5726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ЦІЛІ</w:t>
            </w:r>
          </w:p>
        </w:tc>
        <w:tc>
          <w:tcPr>
            <w:tcW w:w="1559" w:type="dxa"/>
          </w:tcPr>
          <w:p w14:paraId="0F3E77CD" w14:textId="53735395" w:rsidR="007D5726" w:rsidRPr="007D5726" w:rsidRDefault="007D5726" w:rsidP="007D5726">
            <w:pPr>
              <w:spacing w:after="160" w:line="259" w:lineRule="auto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ЗАВДАННЯ</w:t>
            </w:r>
          </w:p>
        </w:tc>
        <w:tc>
          <w:tcPr>
            <w:tcW w:w="2126" w:type="dxa"/>
          </w:tcPr>
          <w:p w14:paraId="496C5936" w14:textId="5D560653" w:rsidR="007D5726" w:rsidRPr="007D5726" w:rsidRDefault="007D5726" w:rsidP="007D5726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 xml:space="preserve">ДІЇ 2024 </w:t>
            </w:r>
          </w:p>
        </w:tc>
        <w:tc>
          <w:tcPr>
            <w:tcW w:w="2126" w:type="dxa"/>
          </w:tcPr>
          <w:p w14:paraId="16585E6C" w14:textId="2D34CAD5" w:rsidR="007D5726" w:rsidRPr="007D5726" w:rsidRDefault="007D5726" w:rsidP="007D5726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ДІЇ  2025</w:t>
            </w:r>
          </w:p>
        </w:tc>
        <w:tc>
          <w:tcPr>
            <w:tcW w:w="2268" w:type="dxa"/>
          </w:tcPr>
          <w:p w14:paraId="2BA62103" w14:textId="30725507" w:rsidR="007D5726" w:rsidRPr="007D5726" w:rsidRDefault="007D5726" w:rsidP="007D5726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ДІЇ 2026</w:t>
            </w:r>
          </w:p>
        </w:tc>
        <w:tc>
          <w:tcPr>
            <w:tcW w:w="2552" w:type="dxa"/>
          </w:tcPr>
          <w:p w14:paraId="1F4D33C1" w14:textId="77777777" w:rsidR="007D5726" w:rsidRPr="007D5726" w:rsidRDefault="007D5726" w:rsidP="007D5726">
            <w:pPr>
              <w:spacing w:after="160" w:line="259" w:lineRule="auto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ІНДИКАТОРИ ДОСЯГНЕННЯ</w:t>
            </w:r>
          </w:p>
        </w:tc>
        <w:tc>
          <w:tcPr>
            <w:tcW w:w="2551" w:type="dxa"/>
          </w:tcPr>
          <w:p w14:paraId="6FC72769" w14:textId="77777777" w:rsidR="007D5726" w:rsidRPr="007D5726" w:rsidRDefault="007D5726" w:rsidP="007D5726">
            <w:pPr>
              <w:spacing w:after="160" w:line="259" w:lineRule="auto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7D5726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 xml:space="preserve">ВІДПОВІДАЛЬНІ </w:t>
            </w:r>
          </w:p>
        </w:tc>
      </w:tr>
      <w:tr w:rsidR="007D5726" w:rsidRPr="00216943" w14:paraId="6FF1C7CD" w14:textId="77777777" w:rsidTr="00C236B0">
        <w:trPr>
          <w:trHeight w:val="1708"/>
        </w:trPr>
        <w:tc>
          <w:tcPr>
            <w:tcW w:w="1413" w:type="dxa"/>
            <w:tcBorders>
              <w:bottom w:val="single" w:sz="4" w:space="0" w:color="auto"/>
            </w:tcBorders>
          </w:tcPr>
          <w:p w14:paraId="1B5EE14F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Недостатньо інформації про різновид покликань.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F646A7" w14:textId="1A4C763A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Зібрати та опублікувати інформацію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013BEE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Рекламування різновиду покликань.</w:t>
            </w:r>
          </w:p>
          <w:p w14:paraId="4A64C2F9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066D055" w14:textId="57CC85F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D1F107" w14:textId="678DCE4B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Зібрати інформацію про світські інститути, треті ордени, консекровані діви, консекровані вдови.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224719" w14:textId="438F3269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Публікація інформації про світські інститути, треті ордени, про консекрованих дів, консекрованих вдів.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B23067" w14:textId="4C8CFCD6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Поширення інформації про світські інститути, треті ордени, консекровані діви, консекровані вдови в католицьких медіа України.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3E38E4" w14:textId="02605C2D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Зібрання та розміщення  в католицьких медіа України однієї публікації про світські інститути, треті ордени, консекрованих дів, вдів.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096197" w14:textId="592028AF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/>
              </w:rPr>
              <w:t>Світські інститути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Ольга Ф.</w:t>
            </w:r>
            <w:r w:rsidR="00C236B0"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/>
              </w:rPr>
              <w:t>Треті орд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/>
              </w:rPr>
              <w:t>е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/>
              </w:rPr>
              <w:t>ни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Олена Пономаренко.</w:t>
            </w:r>
            <w:r w:rsidR="00C236B0"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/>
              </w:rPr>
              <w:t>Консекровані діви, консекровані вдови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</w:t>
            </w:r>
          </w:p>
        </w:tc>
      </w:tr>
      <w:tr w:rsidR="007D5726" w:rsidRPr="00216943" w14:paraId="0C523EF7" w14:textId="77777777" w:rsidTr="00C236B0">
        <w:trPr>
          <w:trHeight w:val="768"/>
        </w:trPr>
        <w:tc>
          <w:tcPr>
            <w:tcW w:w="1413" w:type="dxa"/>
            <w:tcBorders>
              <w:bottom w:val="nil"/>
            </w:tcBorders>
          </w:tcPr>
          <w:p w14:paraId="298AFD88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42D2033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2391D8A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Маркетинг покликань. 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42F2F3E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Приготування матеріалів на тиждень про покликання.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1343DE1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Приготування матеріалів на тиждень про покликання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C36D135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Приготування матеріалів  на Тиждень про покликання.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E04AA61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Раз в рік розіслання матеріалів на Тиждень про покликання.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1051DBB" w14:textId="72923729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Приготування 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</w:t>
            </w:r>
            <w:r w:rsidR="00C236B0"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Публікація – Олена Пономаренко</w:t>
            </w:r>
          </w:p>
        </w:tc>
      </w:tr>
      <w:tr w:rsidR="007D5726" w:rsidRPr="00474C71" w14:paraId="38941012" w14:textId="77777777" w:rsidTr="00C236B0">
        <w:trPr>
          <w:trHeight w:val="1749"/>
        </w:trPr>
        <w:tc>
          <w:tcPr>
            <w:tcW w:w="1413" w:type="dxa"/>
            <w:tcBorders>
              <w:top w:val="nil"/>
            </w:tcBorders>
          </w:tcPr>
          <w:p w14:paraId="4A464DC4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6222F59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87F2652" w14:textId="128FA7BF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Оживлення групи в телеграмі, розміщення постів на тему покликань в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соц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ережах.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0EE1272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Продовжувати: </w:t>
            </w:r>
          </w:p>
          <w:p w14:paraId="78468683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Розміщення постів на тему покликання у фб і інстагам .</w:t>
            </w:r>
          </w:p>
          <w:p w14:paraId="47DCF4A2" w14:textId="5F62ED92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2A1B5A2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Продовжувати: </w:t>
            </w:r>
          </w:p>
          <w:p w14:paraId="10C1C5F8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Розміщення постів на тему покликання у фб і інстагам.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74D484D3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Продовжувати: </w:t>
            </w:r>
          </w:p>
          <w:p w14:paraId="17F8794F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Розміщення постів на тему покликання у фб і інстагам.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3252797B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Один раз в місяць розміщення постів на тему покликання у фб і інстагам 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10B3CDA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Приготування- 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</w:t>
            </w:r>
          </w:p>
          <w:p w14:paraId="472A3084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Публікація- Олена Пономаренко   </w:t>
            </w:r>
          </w:p>
        </w:tc>
      </w:tr>
      <w:tr w:rsidR="007D5726" w:rsidRPr="00474C71" w14:paraId="7C2D4B1D" w14:textId="77777777" w:rsidTr="00C236B0">
        <w:trPr>
          <w:trHeight w:val="70"/>
        </w:trPr>
        <w:tc>
          <w:tcPr>
            <w:tcW w:w="1413" w:type="dxa"/>
            <w:tcBorders>
              <w:bottom w:val="single" w:sz="4" w:space="0" w:color="auto"/>
            </w:tcBorders>
          </w:tcPr>
          <w:p w14:paraId="685AE0C6" w14:textId="4BC50144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Нестача єдності між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дієцезіальн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</w:t>
            </w:r>
            <w:proofErr w:type="spellEnd"/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ми душпастиря</w:t>
            </w: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ми</w:t>
            </w: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 душпастир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ствами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покликань.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6DF7E8" w14:textId="5FCE60DF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Налагод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ження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співпраці з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відповіда</w:t>
            </w: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льними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покликання.</w:t>
            </w:r>
            <w:r w:rsidRPr="007D5726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  <w:p w14:paraId="72CC28F0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D4B7F18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14:paraId="5B684AC8" w14:textId="001C4714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Активізація дієцезіальних душпастирів поклик</w:t>
            </w:r>
            <w:r w:rsidR="009E47C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ан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ь і різних душпастирств покликань. </w:t>
            </w:r>
          </w:p>
          <w:p w14:paraId="4B09B4CB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Проводити регулярні зустрічі підкомісії душпастирства покликань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DAB7F6" w14:textId="55D8081C" w:rsidR="00C236B0" w:rsidRPr="00216943" w:rsidRDefault="007D5726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Приготування, переклад матеріалів про покликання.</w:t>
            </w:r>
            <w:r w:rsidR="00C236B0"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1E66421" w14:textId="77777777" w:rsidR="00C236B0" w:rsidRPr="00216943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1F5045C" w14:textId="7FD0374C" w:rsidR="00C236B0" w:rsidRPr="007D5726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Провести щорічну зустріч відповідальних за покликання</w:t>
            </w:r>
          </w:p>
          <w:p w14:paraId="432DE084" w14:textId="6FB5141C" w:rsidR="007D5726" w:rsidRPr="007D5726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Зібрання статистики новопокликаних у 2024 році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0B077C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Публікація матеріалів для душпастирів.</w:t>
            </w:r>
          </w:p>
          <w:p w14:paraId="65943497" w14:textId="77777777" w:rsidR="004E6E83" w:rsidRPr="00216943" w:rsidRDefault="004E6E83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14:paraId="13660994" w14:textId="76C458EB" w:rsidR="00C236B0" w:rsidRPr="007D5726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Провести щорічну зустріч відповідальних за покликання</w:t>
            </w:r>
          </w:p>
          <w:p w14:paraId="5CFB47CF" w14:textId="42CD1EE9" w:rsidR="007D5726" w:rsidRPr="007D5726" w:rsidRDefault="00C236B0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Зібрання статистики новопокликаних у 2025 році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FEC683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Поширення матеріалів для душпастирів.</w:t>
            </w:r>
          </w:p>
          <w:p w14:paraId="7F126228" w14:textId="77777777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E92AC9B" w14:textId="6AEBD2D7" w:rsidR="00C236B0" w:rsidRPr="00216943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Провести щорічну зустріч відповідальних за покликання</w:t>
            </w:r>
          </w:p>
          <w:p w14:paraId="74045FD7" w14:textId="77777777" w:rsidR="004E6E83" w:rsidRPr="007D5726" w:rsidRDefault="004E6E83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</w:pPr>
          </w:p>
          <w:p w14:paraId="206BB803" w14:textId="3A6A56DA" w:rsidR="007D5726" w:rsidRPr="007D5726" w:rsidRDefault="00C236B0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Зібрання статистики новопокликаних у 2026році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</w:tcPr>
          <w:p w14:paraId="29CA2661" w14:textId="7E437BB5" w:rsidR="007D5726" w:rsidRPr="007D5726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Чотири рази в рік  мінімально приготувати матеріали для душпастирів покликань.</w:t>
            </w:r>
          </w:p>
          <w:p w14:paraId="257A042E" w14:textId="77777777" w:rsidR="004E6E83" w:rsidRPr="00216943" w:rsidRDefault="007D5726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Проводити раз в квартал зустріч підкомісії душ пастирства покликань.</w:t>
            </w:r>
            <w:r w:rsidR="00C236B0"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B9DD088" w14:textId="7D9DB01B" w:rsidR="00C236B0" w:rsidRPr="00216943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Щорічна зустріч відповідальних за покликання</w:t>
            </w:r>
          </w:p>
          <w:p w14:paraId="4B2F1C8C" w14:textId="558F9D1F" w:rsidR="007D5726" w:rsidRPr="007D5726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</w:t>
            </w: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ібрана статистика подана публічно кожного року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14:paraId="16A51200" w14:textId="570EE55B" w:rsidR="007D5726" w:rsidRPr="00216943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Приготування матеріалів – 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</w:t>
            </w:r>
          </w:p>
          <w:p w14:paraId="7181B563" w14:textId="77777777" w:rsidR="00C236B0" w:rsidRPr="007D5726" w:rsidRDefault="00C236B0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8"/>
                <w:szCs w:val="8"/>
                <w:lang w:val="uk-UA"/>
              </w:rPr>
            </w:pPr>
          </w:p>
          <w:p w14:paraId="123B7829" w14:textId="54FF2E34" w:rsidR="007D5726" w:rsidRPr="00216943" w:rsidRDefault="007D5726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Відповідальний 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</w:t>
            </w:r>
          </w:p>
          <w:p w14:paraId="5C9C6465" w14:textId="77777777" w:rsidR="004E6E83" w:rsidRPr="007D5726" w:rsidRDefault="004E6E83" w:rsidP="007D5726">
            <w:pPr>
              <w:spacing w:after="160" w:line="259" w:lineRule="auto"/>
              <w:rPr>
                <w:rFonts w:ascii="Times New Roman" w:eastAsia="Calibri" w:hAnsi="Times New Roman" w:cs="Times New Roman"/>
                <w:sz w:val="6"/>
                <w:szCs w:val="6"/>
                <w:lang w:val="uk-UA"/>
              </w:rPr>
            </w:pPr>
          </w:p>
          <w:p w14:paraId="33CCF478" w14:textId="01B28390" w:rsidR="00C236B0" w:rsidRPr="00216943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SAC, с. Зита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Врона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SCM</w:t>
            </w:r>
          </w:p>
          <w:p w14:paraId="386DE4B5" w14:textId="77777777" w:rsidR="004E6E83" w:rsidRPr="007D5726" w:rsidRDefault="004E6E83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6"/>
                <w:szCs w:val="6"/>
                <w:lang w:val="uk-UA"/>
              </w:rPr>
            </w:pPr>
          </w:p>
          <w:p w14:paraId="0E7D68E1" w14:textId="58CB6D25" w:rsidR="007D5726" w:rsidRPr="007D5726" w:rsidRDefault="00C236B0" w:rsidP="00C236B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с. Зита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Врона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SCM, о. Леонід </w:t>
            </w:r>
            <w:proofErr w:type="spellStart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Ярошинський</w:t>
            </w:r>
            <w:proofErr w:type="spellEnd"/>
            <w:r w:rsidRPr="007D572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SAC</w:t>
            </w:r>
          </w:p>
        </w:tc>
      </w:tr>
    </w:tbl>
    <w:p w14:paraId="11651D86" w14:textId="77777777" w:rsidR="007D5726" w:rsidRPr="007D5726" w:rsidRDefault="007D5726" w:rsidP="007D5726">
      <w:pPr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7F141E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8"/>
          <w:szCs w:val="28"/>
          <w:lang w:val="uk-UA"/>
        </w:rPr>
      </w:pPr>
      <w:bookmarkStart w:id="0" w:name="_Hlk168559245"/>
    </w:p>
    <w:p w14:paraId="26E77CB0" w14:textId="77777777" w:rsidR="00AD49D0" w:rsidRPr="00AD49D0" w:rsidRDefault="00AD49D0" w:rsidP="00AD49D0">
      <w:pPr>
        <w:rPr>
          <w:rFonts w:ascii="Times" w:eastAsia="Calibri" w:hAnsi="Times" w:cs="Times New Roman"/>
          <w:b/>
          <w:bCs/>
          <w:sz w:val="28"/>
          <w:szCs w:val="28"/>
          <w:lang w:val="uk-UA"/>
        </w:rPr>
      </w:pPr>
      <w:r w:rsidRPr="00AD49D0">
        <w:rPr>
          <w:rFonts w:ascii="Times" w:eastAsia="Calibri" w:hAnsi="Times" w:cs="Times New Roman"/>
          <w:b/>
          <w:bCs/>
          <w:sz w:val="28"/>
          <w:szCs w:val="28"/>
          <w:lang w:val="uk-UA"/>
        </w:rPr>
        <w:lastRenderedPageBreak/>
        <w:t>Католицькі навчальні заклади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798"/>
        <w:gridCol w:w="1798"/>
        <w:gridCol w:w="3062"/>
        <w:gridCol w:w="4394"/>
        <w:gridCol w:w="4394"/>
        <w:gridCol w:w="142"/>
      </w:tblGrid>
      <w:tr w:rsidR="00AD49D0" w:rsidRPr="00AD49D0" w14:paraId="53CC18DE" w14:textId="77777777" w:rsidTr="00AD49D0">
        <w:trPr>
          <w:gridAfter w:val="1"/>
          <w:wAfter w:w="142" w:type="dxa"/>
          <w:trHeight w:val="651"/>
        </w:trPr>
        <w:tc>
          <w:tcPr>
            <w:tcW w:w="1798" w:type="dxa"/>
            <w:tcBorders>
              <w:bottom w:val="single" w:sz="4" w:space="0" w:color="auto"/>
            </w:tcBorders>
          </w:tcPr>
          <w:p w14:paraId="19A72B1B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216943">
              <w:rPr>
                <w:b/>
                <w:bCs/>
                <w:color w:val="2F5496" w:themeColor="accent1" w:themeShade="BF"/>
                <w:lang w:val="uk-UA"/>
              </w:rPr>
              <w:t>ВИКЛИКИ</w:t>
            </w:r>
          </w:p>
          <w:p w14:paraId="3D2D6301" w14:textId="160AD2E8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113C000C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216943">
              <w:rPr>
                <w:b/>
                <w:bCs/>
                <w:color w:val="2F5496" w:themeColor="accent1" w:themeShade="BF"/>
                <w:lang w:val="uk-UA"/>
              </w:rPr>
              <w:t>ЦІЛІ</w:t>
            </w:r>
          </w:p>
          <w:p w14:paraId="45DA884D" w14:textId="3849BB1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</w:p>
        </w:tc>
        <w:tc>
          <w:tcPr>
            <w:tcW w:w="3062" w:type="dxa"/>
          </w:tcPr>
          <w:p w14:paraId="6BABD7CC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216943">
              <w:rPr>
                <w:b/>
                <w:bCs/>
                <w:color w:val="2F5496" w:themeColor="accent1" w:themeShade="BF"/>
                <w:lang w:val="uk-UA"/>
              </w:rPr>
              <w:t>ЗАВДАННЯ</w:t>
            </w:r>
          </w:p>
          <w:p w14:paraId="416251D8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</w:p>
        </w:tc>
        <w:tc>
          <w:tcPr>
            <w:tcW w:w="4394" w:type="dxa"/>
          </w:tcPr>
          <w:p w14:paraId="73EA96D8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216943">
              <w:rPr>
                <w:b/>
                <w:bCs/>
                <w:color w:val="2F5496" w:themeColor="accent1" w:themeShade="BF"/>
                <w:lang w:val="uk-UA"/>
              </w:rPr>
              <w:t xml:space="preserve">ДІЇ та рік реалізації 2024– 2027 </w:t>
            </w:r>
          </w:p>
          <w:p w14:paraId="09A9D256" w14:textId="7F9B2CA8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</w:p>
        </w:tc>
        <w:tc>
          <w:tcPr>
            <w:tcW w:w="4394" w:type="dxa"/>
          </w:tcPr>
          <w:p w14:paraId="52F6D614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216943">
              <w:rPr>
                <w:b/>
                <w:bCs/>
                <w:color w:val="2F5496" w:themeColor="accent1" w:themeShade="BF"/>
                <w:lang w:val="uk-UA"/>
              </w:rPr>
              <w:t>ІНДИКАТОРИ ДОСЯГНЕННЯ</w:t>
            </w:r>
          </w:p>
          <w:p w14:paraId="627F96E1" w14:textId="77777777" w:rsidR="00AD49D0" w:rsidRPr="00216943" w:rsidRDefault="00AD49D0" w:rsidP="00AD49D0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216943">
              <w:rPr>
                <w:b/>
                <w:bCs/>
                <w:color w:val="2F5496" w:themeColor="accent1" w:themeShade="BF"/>
                <w:lang w:val="uk-UA"/>
              </w:rPr>
              <w:t>(відповідальні)</w:t>
            </w:r>
          </w:p>
        </w:tc>
      </w:tr>
      <w:tr w:rsidR="00AD49D0" w:rsidRPr="00474C71" w14:paraId="707AEC0A" w14:textId="77777777" w:rsidTr="00216943">
        <w:trPr>
          <w:gridAfter w:val="1"/>
          <w:wAfter w:w="142" w:type="dxa"/>
          <w:trHeight w:val="1381"/>
        </w:trPr>
        <w:tc>
          <w:tcPr>
            <w:tcW w:w="1798" w:type="dxa"/>
            <w:tcBorders>
              <w:bottom w:val="nil"/>
            </w:tcBorders>
          </w:tcPr>
          <w:p w14:paraId="57E2E266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Недостатність зв'язку душпастирства молоді з державними, комунальними закладами освіти</w:t>
            </w:r>
          </w:p>
        </w:tc>
        <w:tc>
          <w:tcPr>
            <w:tcW w:w="1798" w:type="dxa"/>
            <w:tcBorders>
              <w:bottom w:val="nil"/>
            </w:tcBorders>
          </w:tcPr>
          <w:p w14:paraId="36145685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Покращити зв'язок душпастирства молоді з державними, комунальними закладами освіти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08D7796C" w14:textId="31677CFB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Інформувати  душпастирів молоді, священників, сестер-монахинь  про необхідність співпраці з державними, комунальними закладами освіти.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C19A2C2" w14:textId="2E8A4134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1. </w:t>
            </w: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Надання інформації для священників, сестер-монахинь про необхідність «виходу» в державні заклади освіти, необхідність душпастирства дітей та молоді в цих закладах через єпископів, деканів, настоятелів, душпастирів молоді (2024)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92EB8F8" w14:textId="08EF60D9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 священники, сестри-монахині  інформовані про необхідність взаємозв’язку душпастирства молоді та державними, комунальними  закладами освіти</w:t>
            </w: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                                               </w:t>
            </w: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(відповідальний за сектор)  </w:t>
            </w:r>
          </w:p>
        </w:tc>
      </w:tr>
      <w:tr w:rsidR="00AD49D0" w:rsidRPr="00474C71" w14:paraId="389E97D0" w14:textId="77777777" w:rsidTr="00AD49D0">
        <w:trPr>
          <w:gridAfter w:val="1"/>
          <w:wAfter w:w="142" w:type="dxa"/>
          <w:trHeight w:val="2894"/>
        </w:trPr>
        <w:tc>
          <w:tcPr>
            <w:tcW w:w="1798" w:type="dxa"/>
            <w:tcBorders>
              <w:top w:val="nil"/>
            </w:tcBorders>
          </w:tcPr>
          <w:p w14:paraId="36BE35B1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14:paraId="3A1E9D18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437D7ABC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3FDA500B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</w:tcPr>
          <w:p w14:paraId="353D965B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Створити команду священників, сестер-монахинь,  які будуть шкільними капеланами в державних, комунальних закладах освіти ( 1 священник (сестра-монахиня)  з дієцезії)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0EF37663" w14:textId="08F42DBA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1. </w:t>
            </w: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Визначити одного священника або сестру-монахиню з дієцезії, який (яка) візьме відповідальність, обов’язки і служіння шкільного капелана (2025)</w:t>
            </w:r>
          </w:p>
          <w:p w14:paraId="113002FC" w14:textId="6037C6E4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2. </w:t>
            </w: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Пройти курс «Шкільний капелан», організований ГС «Католицька освіта», отримати знання, підготовку та  відповідний сертифікат (2026)</w:t>
            </w:r>
          </w:p>
          <w:p w14:paraId="6AB3C845" w14:textId="4B196F7F" w:rsidR="00AD49D0" w:rsidRPr="00AD49D0" w:rsidRDefault="00AD49D0" w:rsidP="00AD49D0">
            <w:pPr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1.Заключити договір про співпрацю між державним, комунальним  закладом освіти та шкільним капеланом (2027)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1EFBFD67" w14:textId="2C65F118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 Визначені 7 священиків (можуть бути сестри-монахині),  які можуть взяти на себе відповідальність та служіння шкільного капелана</w:t>
            </w:r>
          </w:p>
          <w:p w14:paraId="4374D216" w14:textId="29D73F18" w:rsidR="00AD49D0" w:rsidRPr="00216943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 Пройдений священниками, сестрами-монахинями   курс «Шкільний капелан» від ГС «Католицька освіта»</w:t>
            </w:r>
          </w:p>
          <w:p w14:paraId="419C3B09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8"/>
                <w:szCs w:val="8"/>
                <w:lang w:val="uk-UA"/>
              </w:rPr>
            </w:pPr>
          </w:p>
          <w:p w14:paraId="73AC6B55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-Заключений договір про співпрацю закладу освіти та шкільного капелана</w:t>
            </w:r>
          </w:p>
        </w:tc>
      </w:tr>
      <w:tr w:rsidR="00AD49D0" w:rsidRPr="00AD49D0" w14:paraId="766B1433" w14:textId="77777777" w:rsidTr="00216943">
        <w:trPr>
          <w:gridAfter w:val="1"/>
          <w:wAfter w:w="142" w:type="dxa"/>
          <w:trHeight w:val="3959"/>
        </w:trPr>
        <w:tc>
          <w:tcPr>
            <w:tcW w:w="1798" w:type="dxa"/>
            <w:vMerge w:val="restart"/>
          </w:tcPr>
          <w:p w14:paraId="329BC656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Недостатність єдиного бачення  щодо функціонування католицького закладу освіти РКЦ</w:t>
            </w:r>
          </w:p>
          <w:p w14:paraId="1D14A83D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3C86DB37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1C94A985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0E38134F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184975D3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5539D500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26AD476E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609A060D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0FE6F851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2AD0FBDE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2E5B2F38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7B2F3A54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5DDD9130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1817D534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vMerge w:val="restart"/>
          </w:tcPr>
          <w:p w14:paraId="69A5516A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lastRenderedPageBreak/>
              <w:t>Відповідність функціонуючих закладів освіти Типовому Положенню про ЗО РКЦ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auto"/>
            </w:tcBorders>
          </w:tcPr>
          <w:p w14:paraId="29BB0E19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1. Розуміння закладами освіти  їх католицької ідентичності </w:t>
            </w:r>
          </w:p>
          <w:p w14:paraId="081894A0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320A72CD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55E2F08C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7E330F09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07D4C6DB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auto"/>
            </w:tcBorders>
          </w:tcPr>
          <w:p w14:paraId="33846714" w14:textId="6810DFDB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1.</w:t>
            </w: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Надати для опрацювання керівникам та педагогам закладів посібник «Католицький заклад освіти» та Типове Положення про ЗО РКЦ (розмістити в спільному чаті керівників закладів)</w:t>
            </w:r>
          </w:p>
          <w:p w14:paraId="55D4D3CF" w14:textId="06454B1C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216943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2.</w:t>
            </w: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Створити діагностувальну анкету  - відповідність закладу освіти  Типовому Положенню про ЗО РКЦ (загальні положення, мета, завдання, принципи та засади діяльності, керівництво, персонал, духівник, фінанси).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auto"/>
            </w:tcBorders>
          </w:tcPr>
          <w:p w14:paraId="6D86047A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-Самодіагностика закладів. Опрацьовані керівниками та педагогами посібник та Типове Положення ЗО РКЦ</w:t>
            </w:r>
          </w:p>
          <w:p w14:paraId="6DFEFBF8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6A1559E5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-Опрацьована анкета від кожного закладу. Проаналізована відповідальним за сектор та Головою Комісії</w:t>
            </w:r>
          </w:p>
          <w:p w14:paraId="1F03F8C3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</w:tr>
      <w:tr w:rsidR="00AD49D0" w:rsidRPr="00AD49D0" w14:paraId="3F173655" w14:textId="77777777" w:rsidTr="00AD49D0">
        <w:trPr>
          <w:trHeight w:val="4636"/>
        </w:trPr>
        <w:tc>
          <w:tcPr>
            <w:tcW w:w="1798" w:type="dxa"/>
            <w:vMerge/>
          </w:tcPr>
          <w:p w14:paraId="04F2CDAF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vMerge/>
          </w:tcPr>
          <w:p w14:paraId="71C96E70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00CE99FD" w14:textId="7C94DFE5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2.Виявлення потреб, викликів  в закладах освіти, надання відповідної підтримки; формування спільноти християн-освітян</w:t>
            </w:r>
          </w:p>
          <w:p w14:paraId="10F6384F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  <w:p w14:paraId="50DAE76C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4388BAA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1.Візитація закладів за встановленим графіком</w:t>
            </w:r>
          </w:p>
          <w:p w14:paraId="1B469630" w14:textId="22761C0B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2.Організація он-лайн  та офлайн зустрічей для керівників, педагогів за визначеними темами, запрошення відповідних фахівців, спікерів, консультантів. </w:t>
            </w:r>
          </w:p>
          <w:p w14:paraId="5AA44C0D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3.Надання інформації, матеріалів щодо самоосвіти та підвищення кваліфікації педагогів (тренінги, семінари, курси підвищення кваліфікації). Обмін досвідом, матеріалами, розробками, </w:t>
            </w:r>
            <w:proofErr w:type="spellStart"/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методичками</w:t>
            </w:r>
            <w:proofErr w:type="spellEnd"/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.</w:t>
            </w:r>
          </w:p>
          <w:p w14:paraId="62365C69" w14:textId="715C2046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4. Налагодити співпрацю  з Комісією у справах освіти при Раді  Церков та з  громадською радою при МОН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18DB2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-Візити  відповідального за напрямок до функціонуючих закладів освіти</w:t>
            </w:r>
          </w:p>
          <w:p w14:paraId="22711C9F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-Проведені он-лайн зустрічі педагогів за визначеними темами з відповідними фахівцями, спікерами</w:t>
            </w:r>
          </w:p>
          <w:p w14:paraId="2085BF63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-Пройдені педагогами курси, тренінги, семінари. Створений гул-диск з методичними матеріалами .</w:t>
            </w:r>
          </w:p>
          <w:p w14:paraId="1F643F15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>-Надана інформація  для педагогів,   щодо діяльності Комісії у справах освіти, прийняті рішення, постанови, дії.</w:t>
            </w:r>
          </w:p>
          <w:p w14:paraId="75970E94" w14:textId="77777777" w:rsidR="00AD49D0" w:rsidRPr="00AD49D0" w:rsidRDefault="00AD49D0" w:rsidP="00AD49D0">
            <w:pPr>
              <w:spacing w:after="160" w:line="259" w:lineRule="auto"/>
              <w:rPr>
                <w:rFonts w:ascii="Times" w:eastAsia="Calibri" w:hAnsi="Times" w:cs="Times New Roman"/>
                <w:sz w:val="20"/>
                <w:szCs w:val="20"/>
                <w:lang w:val="uk-UA"/>
              </w:rPr>
            </w:pPr>
            <w:r w:rsidRPr="00AD49D0">
              <w:rPr>
                <w:rFonts w:ascii="Times" w:eastAsia="Calibri" w:hAnsi="Times" w:cs="Times New Roman"/>
                <w:sz w:val="20"/>
                <w:szCs w:val="20"/>
                <w:lang w:val="uk-UA"/>
              </w:rPr>
              <w:t xml:space="preserve"> (відповідальний за сектор)</w:t>
            </w:r>
          </w:p>
        </w:tc>
      </w:tr>
    </w:tbl>
    <w:p w14:paraId="788C2A60" w14:textId="77777777" w:rsidR="00AD49D0" w:rsidRPr="00AD49D0" w:rsidRDefault="00AD49D0" w:rsidP="00AD49D0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2A33AF3F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1BD6D064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1B055144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360B5560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6BD71C23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365F69DE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056D4CEF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4D2D13C9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555CF13E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699FAE97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bookmarkEnd w:id="0"/>
    <w:p w14:paraId="2DF9B33E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236D486D" w14:textId="77777777" w:rsidR="004E6E83" w:rsidRPr="004E6E83" w:rsidRDefault="004E6E83" w:rsidP="004E6E83">
      <w:pPr>
        <w:rPr>
          <w:rFonts w:ascii="Times" w:eastAsia="Calibri" w:hAnsi="Times" w:cs="Times New Roman"/>
          <w:b/>
          <w:bCs/>
          <w:sz w:val="20"/>
          <w:szCs w:val="20"/>
          <w:lang w:val="uk-UA"/>
        </w:rPr>
      </w:pPr>
    </w:p>
    <w:p w14:paraId="328038F1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7C1549FE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29FAEE6A" w14:textId="58B5BFF4" w:rsidR="004E6E83" w:rsidRPr="004E6E83" w:rsidRDefault="00216943" w:rsidP="004E6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1694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Молодіжна Рада</w:t>
      </w:r>
    </w:p>
    <w:p w14:paraId="1EDB943B" w14:textId="68D25BF2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pPr w:leftFromText="180" w:rightFromText="180" w:vertAnchor="page" w:horzAnchor="margin" w:tblpY="1551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2268"/>
        <w:gridCol w:w="2268"/>
        <w:gridCol w:w="2268"/>
        <w:gridCol w:w="1701"/>
        <w:gridCol w:w="1843"/>
      </w:tblGrid>
      <w:tr w:rsidR="000365BC" w:rsidRPr="00216943" w14:paraId="3944EADE" w14:textId="77777777" w:rsidTr="000365BC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F921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ВИКЛИКИ</w:t>
            </w:r>
          </w:p>
          <w:p w14:paraId="2A88580F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EE99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ЦІЛІ</w:t>
            </w:r>
          </w:p>
          <w:p w14:paraId="5E1C316E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E98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ЗАВДАННЯ</w:t>
            </w:r>
          </w:p>
          <w:p w14:paraId="16EB542B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AE57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ДІЇ 2024</w:t>
            </w:r>
          </w:p>
          <w:p w14:paraId="31152CB4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ADA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ДІЇ  2025</w:t>
            </w:r>
          </w:p>
          <w:p w14:paraId="5DECFF48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EF0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ДІЇ 2026</w:t>
            </w:r>
          </w:p>
          <w:p w14:paraId="6E832899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6680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ІНДИКАТОРИ ДОСЯГНЕННЯ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0C26" w14:textId="77777777" w:rsidR="000365BC" w:rsidRPr="00216943" w:rsidRDefault="000365BC" w:rsidP="000365BC">
            <w:pPr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216943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 xml:space="preserve">ВІДПОВІДАЛЬНІ </w:t>
            </w:r>
          </w:p>
        </w:tc>
      </w:tr>
      <w:tr w:rsidR="000365BC" w:rsidRPr="00216943" w14:paraId="183BEA6F" w14:textId="77777777" w:rsidTr="000365BC">
        <w:trPr>
          <w:trHeight w:val="98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10E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Недосконалість структури Молодіжної Ради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07B9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Покращити структуру  </w:t>
            </w:r>
          </w:p>
          <w:p w14:paraId="004F228C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Молодіжної Ради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FC4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1) Затвердження Статуту Молодіжної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6D1BC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1) Затвердження Статуту Молодіжної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C76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Доопрацювання</w:t>
            </w:r>
          </w:p>
          <w:p w14:paraId="2D5FEBC0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Статуту Молодіжної Ради </w:t>
            </w:r>
          </w:p>
          <w:p w14:paraId="53E3F94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1B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Доопрацювання</w:t>
            </w:r>
          </w:p>
          <w:p w14:paraId="56EE8E32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Статуту Молодіжної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E4E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Статут</w:t>
            </w:r>
          </w:p>
          <w:p w14:paraId="48AFED8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Молодіжної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D039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о. Олександр </w:t>
            </w:r>
            <w:proofErr w:type="spellStart"/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Пухальський</w:t>
            </w:r>
            <w:proofErr w:type="spellEnd"/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0365BC" w:rsidRPr="00216943" w14:paraId="33685513" w14:textId="77777777" w:rsidTr="000365BC">
        <w:trPr>
          <w:trHeight w:val="9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1FD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5138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16F7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B62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2) Затвердження логотипа Молодіжної Ради</w:t>
            </w:r>
          </w:p>
          <w:p w14:paraId="69AEE23E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5510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Доопрацювання</w:t>
            </w:r>
          </w:p>
          <w:p w14:paraId="740E4BBC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логотипа Молодіжної Ради</w:t>
            </w:r>
          </w:p>
          <w:p w14:paraId="637C4E20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E11F2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Доопрацювання</w:t>
            </w:r>
          </w:p>
          <w:p w14:paraId="26932F1B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логотипа Молодіжної Ради</w:t>
            </w:r>
          </w:p>
          <w:p w14:paraId="7782EF81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B19C0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Логотип Молодіжної Ради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DE8D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Кирило</w:t>
            </w:r>
          </w:p>
          <w:p w14:paraId="24718E2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Пашківський</w:t>
            </w:r>
            <w:proofErr w:type="spellEnd"/>
          </w:p>
        </w:tc>
      </w:tr>
      <w:tr w:rsidR="000365BC" w:rsidRPr="00216943" w14:paraId="011FEF26" w14:textId="77777777" w:rsidTr="000365BC">
        <w:trPr>
          <w:trHeight w:val="10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495FD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EDD2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3BC6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2) Залучення експертів під проекти</w:t>
            </w:r>
          </w:p>
          <w:p w14:paraId="510BF46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9BE2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Пошук та залучення</w:t>
            </w:r>
          </w:p>
          <w:p w14:paraId="1C881B19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експертів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5A6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Пошук та залучення</w:t>
            </w:r>
          </w:p>
          <w:p w14:paraId="6C8E31A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експертів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ECDA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Пошук та залучення</w:t>
            </w:r>
          </w:p>
          <w:p w14:paraId="0BCF3ECA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експертів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8BD3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Група  експертів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08D938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  <w:p w14:paraId="1F8222B2" w14:textId="77777777" w:rsidR="000365BC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  <w:p w14:paraId="5E79C8F9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Молодіжна Рада</w:t>
            </w:r>
          </w:p>
        </w:tc>
      </w:tr>
      <w:tr w:rsidR="000365BC" w:rsidRPr="00216943" w14:paraId="018714E6" w14:textId="77777777" w:rsidTr="000365BC">
        <w:trPr>
          <w:trHeight w:val="1175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62D7E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Недостатня комунікація між членами Молодіжної Ради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C0673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Зміцнити комунікацію між членами Молодіжної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09E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Проведення онлайн- зустрічей 1 раз у квартал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07442B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зима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4BCF1D5B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весна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63A60FF0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літо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74BE48E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осінь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42FF69C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  <w:p w14:paraId="5B8B0456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3244C9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зима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4685C24A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весна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147B60A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літо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5C38DE3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осінь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0CB17FC8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FDE0C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зима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1476234A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весна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133498D0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літо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63D72F9D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онлайн- зустріч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осінь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  <w:p w14:paraId="514A81E3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5B1DD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участь мінімум 80% учасників Молодіжної Ради в он-лайн зустрічах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414F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Анна Петрова</w:t>
            </w:r>
          </w:p>
        </w:tc>
      </w:tr>
      <w:tr w:rsidR="000365BC" w:rsidRPr="00216943" w14:paraId="421C6D00" w14:textId="77777777" w:rsidTr="000365BC">
        <w:trPr>
          <w:trHeight w:val="110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A94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1E1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4D5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Проведення офлайн- зустрічей 2 рази на рік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 п</w:t>
            </w: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ід час регулярних зустрічей КМД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F07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офлайн- зустріч</w:t>
            </w:r>
          </w:p>
          <w:p w14:paraId="23EB6C9B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  <w:p w14:paraId="19B240B7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офлайн- зустріч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E1E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офлайн- зустріч</w:t>
            </w:r>
          </w:p>
          <w:p w14:paraId="75B2533B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  <w:p w14:paraId="552FF292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офлайн- зустріч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9DC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офлайн- зустріч</w:t>
            </w:r>
          </w:p>
          <w:p w14:paraId="77DBF932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  <w:p w14:paraId="4CF3EFEB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офлайн- зустріч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4D8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Проведені 2 оф-лайн зустрічі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E093" w14:textId="77777777" w:rsidR="000365BC" w:rsidRPr="00216943" w:rsidRDefault="000365BC" w:rsidP="000365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о. Олександр </w:t>
            </w:r>
            <w:proofErr w:type="spellStart"/>
            <w:r w:rsidRPr="0021694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Пухальський</w:t>
            </w:r>
            <w:proofErr w:type="spellEnd"/>
          </w:p>
        </w:tc>
      </w:tr>
    </w:tbl>
    <w:p w14:paraId="5116468D" w14:textId="5E9D6982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7E59BB5" w14:textId="1E9355C8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54EAA22" w14:textId="578E6DBE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0E14FC93" w14:textId="562A521E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309D2403" w14:textId="177B5C23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728A6468" w14:textId="423AE4BD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8660358" w14:textId="2C9B3B42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A3D2938" w14:textId="776325CD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31AE2F39" w14:textId="02565A07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45C87A7C" w14:textId="370FCCE1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74339872" w14:textId="7A6C3CE7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256974E9" w14:textId="77777777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0ED12F2C" w14:textId="0A0B527A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F67D23B" w14:textId="7CF91F4F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7C331FE4" w14:textId="505B7A51" w:rsidR="000365BC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087449DA" w14:textId="77777777" w:rsidR="000365BC" w:rsidRPr="000365BC" w:rsidRDefault="000365BC" w:rsidP="000365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365B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Організаційний розвиток Комісії</w:t>
      </w:r>
    </w:p>
    <w:p w14:paraId="7041D3A2" w14:textId="77777777" w:rsidR="000365BC" w:rsidRPr="000365BC" w:rsidRDefault="000365BC" w:rsidP="000365BC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14829" w:type="dxa"/>
        <w:tblLook w:val="04A0" w:firstRow="1" w:lastRow="0" w:firstColumn="1" w:lastColumn="0" w:noHBand="0" w:noVBand="1"/>
      </w:tblPr>
      <w:tblGrid>
        <w:gridCol w:w="1701"/>
        <w:gridCol w:w="1632"/>
        <w:gridCol w:w="2899"/>
        <w:gridCol w:w="4730"/>
        <w:gridCol w:w="3867"/>
      </w:tblGrid>
      <w:tr w:rsidR="000365BC" w:rsidRPr="000365BC" w14:paraId="4A7A09CD" w14:textId="77777777" w:rsidTr="000365BC">
        <w:trPr>
          <w:trHeight w:val="539"/>
        </w:trPr>
        <w:tc>
          <w:tcPr>
            <w:tcW w:w="1701" w:type="dxa"/>
            <w:tcBorders>
              <w:bottom w:val="single" w:sz="4" w:space="0" w:color="auto"/>
            </w:tcBorders>
          </w:tcPr>
          <w:p w14:paraId="291DC652" w14:textId="1BAF3455" w:rsidR="000365BC" w:rsidRPr="000365BC" w:rsidRDefault="000365BC" w:rsidP="000365BC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0365BC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ВИКЛИКИ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9C55928" w14:textId="24F9BC08" w:rsidR="000365BC" w:rsidRPr="000365BC" w:rsidRDefault="000365BC" w:rsidP="000365BC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0365BC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ЦІЛІ</w:t>
            </w:r>
          </w:p>
        </w:tc>
        <w:tc>
          <w:tcPr>
            <w:tcW w:w="2899" w:type="dxa"/>
          </w:tcPr>
          <w:p w14:paraId="75C5CADC" w14:textId="6645F5F6" w:rsidR="000365BC" w:rsidRPr="000365BC" w:rsidRDefault="000365BC" w:rsidP="000365BC">
            <w:pPr>
              <w:spacing w:after="160" w:line="259" w:lineRule="auto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0365BC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ЗАВДАННЯ</w:t>
            </w:r>
          </w:p>
        </w:tc>
        <w:tc>
          <w:tcPr>
            <w:tcW w:w="4730" w:type="dxa"/>
          </w:tcPr>
          <w:p w14:paraId="7FC08970" w14:textId="055B99E7" w:rsidR="000365BC" w:rsidRPr="000365BC" w:rsidRDefault="000365BC" w:rsidP="000365BC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2F5496" w:themeColor="accent1" w:themeShade="BF"/>
                <w:lang w:val="uk-UA"/>
              </w:rPr>
            </w:pPr>
            <w:r w:rsidRPr="000365BC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ДІЇ  та  рік реалізації 202</w:t>
            </w:r>
            <w:r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4</w:t>
            </w:r>
            <w:r w:rsidRPr="000365BC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 xml:space="preserve"> – 202</w:t>
            </w:r>
            <w:r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>6</w:t>
            </w:r>
            <w:r w:rsidRPr="000365BC">
              <w:rPr>
                <w:rFonts w:eastAsia="Calibri" w:cstheme="minorHAnsi"/>
                <w:b/>
                <w:color w:val="2F5496" w:themeColor="accent1" w:themeShade="BF"/>
                <w:lang w:val="uk-UA"/>
              </w:rPr>
              <w:t xml:space="preserve"> </w:t>
            </w:r>
          </w:p>
        </w:tc>
        <w:tc>
          <w:tcPr>
            <w:tcW w:w="3867" w:type="dxa"/>
          </w:tcPr>
          <w:p w14:paraId="18658BB8" w14:textId="77777777" w:rsidR="000365BC" w:rsidRPr="000365BC" w:rsidRDefault="000365BC" w:rsidP="000365BC">
            <w:pPr>
              <w:pStyle w:val="a8"/>
              <w:rPr>
                <w:b/>
                <w:bCs/>
                <w:color w:val="2F5496" w:themeColor="accent1" w:themeShade="BF"/>
                <w:lang w:val="uk-UA"/>
              </w:rPr>
            </w:pPr>
            <w:r w:rsidRPr="000365BC">
              <w:rPr>
                <w:b/>
                <w:bCs/>
                <w:color w:val="2F5496" w:themeColor="accent1" w:themeShade="BF"/>
                <w:lang w:val="uk-UA"/>
              </w:rPr>
              <w:t>ІНДИКАТОРИ ДОСЯГНЕННЯ</w:t>
            </w:r>
          </w:p>
          <w:p w14:paraId="0AADD967" w14:textId="77777777" w:rsidR="000365BC" w:rsidRPr="000365BC" w:rsidRDefault="000365BC" w:rsidP="000365BC">
            <w:pPr>
              <w:pStyle w:val="a8"/>
              <w:rPr>
                <w:lang w:val="uk-UA"/>
              </w:rPr>
            </w:pPr>
            <w:r w:rsidRPr="000365BC">
              <w:rPr>
                <w:b/>
                <w:bCs/>
                <w:color w:val="2F5496" w:themeColor="accent1" w:themeShade="BF"/>
                <w:lang w:val="uk-UA"/>
              </w:rPr>
              <w:t>(відповідальні)</w:t>
            </w:r>
            <w:r w:rsidRPr="000365BC">
              <w:rPr>
                <w:color w:val="2F5496" w:themeColor="accent1" w:themeShade="BF"/>
                <w:lang w:val="uk-UA"/>
              </w:rPr>
              <w:t xml:space="preserve"> </w:t>
            </w:r>
          </w:p>
        </w:tc>
      </w:tr>
      <w:tr w:rsidR="000365BC" w:rsidRPr="00474C71" w14:paraId="66687FA2" w14:textId="77777777" w:rsidTr="000365BC">
        <w:trPr>
          <w:trHeight w:val="2814"/>
        </w:trPr>
        <w:tc>
          <w:tcPr>
            <w:tcW w:w="1701" w:type="dxa"/>
          </w:tcPr>
          <w:p w14:paraId="46D6DEF4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Нестача кадрів та фінансових ресурсів.</w:t>
            </w:r>
          </w:p>
        </w:tc>
        <w:tc>
          <w:tcPr>
            <w:tcW w:w="1632" w:type="dxa"/>
          </w:tcPr>
          <w:p w14:paraId="3C341C8B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Збільшити ресурси особисті та фінансові</w:t>
            </w:r>
          </w:p>
          <w:p w14:paraId="3637DB89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7EDE4D9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</w:tcPr>
          <w:p w14:paraId="1C7116A6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Збільшити кількість людей, які співпрацюють з комісією</w:t>
            </w:r>
          </w:p>
          <w:p w14:paraId="397EB286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C939ED0" w14:textId="0C20672C" w:rsid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222ABAB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6406D20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-Знайти додаткові джерела фінансування комісії</w:t>
            </w:r>
          </w:p>
          <w:p w14:paraId="00A73D1F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AE06F3B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30" w:type="dxa"/>
          </w:tcPr>
          <w:p w14:paraId="7F180146" w14:textId="1EDA36FB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Підвищити залученість та відповідальність Молодіжної Ради. </w:t>
            </w:r>
          </w:p>
          <w:p w14:paraId="56F5D3C6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Розширити членство комітетів у сферах: освіта,</w:t>
            </w:r>
          </w:p>
          <w:p w14:paraId="2FCA4665" w14:textId="7C2827EB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З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ахист неповнолітніх, </w:t>
            </w:r>
            <w:proofErr w:type="spellStart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found</w:t>
            </w:r>
            <w:proofErr w:type="spellEnd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rising</w:t>
            </w:r>
            <w:proofErr w:type="spellEnd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7DFB6701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0AB9B28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Писати, реалізовувати та звітувати за проекти.</w:t>
            </w:r>
          </w:p>
        </w:tc>
        <w:tc>
          <w:tcPr>
            <w:tcW w:w="3867" w:type="dxa"/>
          </w:tcPr>
          <w:p w14:paraId="426C28DE" w14:textId="25BEE008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є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постійні джерела доходу:  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a)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дієцезій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b) від власної діяльності  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c)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found</w:t>
            </w:r>
            <w:proofErr w:type="spellEnd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rising</w:t>
            </w:r>
            <w:proofErr w:type="spellEnd"/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A68B699" w14:textId="1E3E69A1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голова, заступник голови, 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found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riser</w:t>
            </w: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) </w:t>
            </w:r>
          </w:p>
          <w:p w14:paraId="2E31DF47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</w:pPr>
          </w:p>
          <w:p w14:paraId="4A4F7C83" w14:textId="77777777" w:rsidR="000365BC" w:rsidRPr="000365BC" w:rsidRDefault="000365BC" w:rsidP="000365B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365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Заходи комісії вийшли на самофінансування (відповідальний за захід) </w:t>
            </w:r>
          </w:p>
        </w:tc>
      </w:tr>
    </w:tbl>
    <w:p w14:paraId="51F56615" w14:textId="77777777" w:rsidR="000365BC" w:rsidRPr="000365BC" w:rsidRDefault="000365BC" w:rsidP="000365BC">
      <w:pPr>
        <w:tabs>
          <w:tab w:val="left" w:pos="4901"/>
        </w:tabs>
        <w:rPr>
          <w:rFonts w:ascii="Times New Roman" w:eastAsia="Calibri" w:hAnsi="Times New Roman" w:cs="Times New Roman"/>
          <w:sz w:val="24"/>
          <w:szCs w:val="20"/>
          <w:lang w:val="uk-UA"/>
        </w:rPr>
      </w:pPr>
      <w:r w:rsidRPr="000365BC">
        <w:rPr>
          <w:rFonts w:ascii="Times New Roman" w:eastAsia="Calibri" w:hAnsi="Times New Roman" w:cs="Times New Roman"/>
          <w:sz w:val="24"/>
          <w:szCs w:val="20"/>
          <w:lang w:val="uk-UA"/>
        </w:rPr>
        <w:tab/>
      </w:r>
    </w:p>
    <w:p w14:paraId="4E5A139D" w14:textId="77777777" w:rsidR="000365BC" w:rsidRPr="000365BC" w:rsidRDefault="000365BC" w:rsidP="000365BC">
      <w:pPr>
        <w:tabs>
          <w:tab w:val="left" w:pos="4901"/>
        </w:tabs>
        <w:rPr>
          <w:rFonts w:ascii="Times New Roman" w:eastAsia="Calibri" w:hAnsi="Times New Roman" w:cs="Times New Roman"/>
          <w:sz w:val="24"/>
          <w:szCs w:val="20"/>
          <w:lang w:val="uk-UA"/>
        </w:rPr>
      </w:pPr>
    </w:p>
    <w:p w14:paraId="70AF3BA9" w14:textId="77777777" w:rsidR="000365BC" w:rsidRPr="000365BC" w:rsidRDefault="000365BC" w:rsidP="000365BC">
      <w:pPr>
        <w:rPr>
          <w:rFonts w:ascii="Calibri" w:eastAsia="Calibri" w:hAnsi="Calibri" w:cs="Times New Roman"/>
          <w:lang w:val="uk-UA"/>
        </w:rPr>
      </w:pPr>
    </w:p>
    <w:p w14:paraId="60706571" w14:textId="77777777" w:rsidR="000365BC" w:rsidRPr="004E6E83" w:rsidRDefault="000365BC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443AF155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24490FDD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21F25DCA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6A04D351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562BA876" w14:textId="77777777" w:rsidR="004E6E83" w:rsidRPr="004E6E83" w:rsidRDefault="004E6E83" w:rsidP="004E6E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29F5C09" w14:textId="77777777" w:rsidR="007D5726" w:rsidRPr="00216943" w:rsidRDefault="007D5726">
      <w:pPr>
        <w:rPr>
          <w:lang w:val="uk-UA"/>
        </w:rPr>
      </w:pPr>
    </w:p>
    <w:sectPr w:rsidR="007D5726" w:rsidRPr="00216943" w:rsidSect="004E6E83">
      <w:headerReference w:type="default" r:id="rId7"/>
      <w:pgSz w:w="16838" w:h="11906" w:orient="landscape"/>
      <w:pgMar w:top="993" w:right="820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28C9" w14:textId="77777777" w:rsidR="00AB14AC" w:rsidRDefault="00AB14AC" w:rsidP="005764BC">
      <w:pPr>
        <w:spacing w:after="0" w:line="240" w:lineRule="auto"/>
      </w:pPr>
      <w:r>
        <w:separator/>
      </w:r>
    </w:p>
  </w:endnote>
  <w:endnote w:type="continuationSeparator" w:id="0">
    <w:p w14:paraId="2701D8C4" w14:textId="77777777" w:rsidR="00AB14AC" w:rsidRDefault="00AB14AC" w:rsidP="005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F3A9" w14:textId="77777777" w:rsidR="00AB14AC" w:rsidRDefault="00AB14AC" w:rsidP="005764BC">
      <w:pPr>
        <w:spacing w:after="0" w:line="240" w:lineRule="auto"/>
      </w:pPr>
      <w:r>
        <w:separator/>
      </w:r>
    </w:p>
  </w:footnote>
  <w:footnote w:type="continuationSeparator" w:id="0">
    <w:p w14:paraId="25508162" w14:textId="77777777" w:rsidR="00AB14AC" w:rsidRDefault="00AB14AC" w:rsidP="005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E91E" w14:textId="1BE9E634" w:rsidR="005764BC" w:rsidRPr="005764BC" w:rsidRDefault="005764BC" w:rsidP="000365BC">
    <w:pPr>
      <w:pStyle w:val="a4"/>
      <w:jc w:val="right"/>
      <w:rPr>
        <w:rFonts w:ascii="Times New Roman" w:hAnsi="Times New Roman" w:cs="Times New Roman"/>
        <w:i/>
        <w:iCs/>
        <w:sz w:val="28"/>
        <w:szCs w:val="28"/>
        <w:lang w:val="uk-UA"/>
      </w:rPr>
    </w:pPr>
    <w:r w:rsidRPr="005764BC">
      <w:rPr>
        <w:rFonts w:ascii="Times New Roman" w:hAnsi="Times New Roman" w:cs="Times New Roman"/>
        <w:i/>
        <w:iCs/>
        <w:sz w:val="28"/>
        <w:szCs w:val="28"/>
        <w:lang w:val="uk-UA"/>
      </w:rPr>
      <w:t>Стратегія Комісії душпастирства молоді РКЦ в Україні 2024 - 2026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02B"/>
    <w:multiLevelType w:val="hybridMultilevel"/>
    <w:tmpl w:val="52CA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7976"/>
    <w:multiLevelType w:val="hybridMultilevel"/>
    <w:tmpl w:val="0C7409D4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C8F47C7"/>
    <w:multiLevelType w:val="hybridMultilevel"/>
    <w:tmpl w:val="1B96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B74FF"/>
    <w:multiLevelType w:val="hybridMultilevel"/>
    <w:tmpl w:val="52CA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73D3C"/>
    <w:multiLevelType w:val="hybridMultilevel"/>
    <w:tmpl w:val="04F81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B"/>
    <w:rsid w:val="000365BC"/>
    <w:rsid w:val="00216943"/>
    <w:rsid w:val="00474C71"/>
    <w:rsid w:val="004E6E83"/>
    <w:rsid w:val="005764BC"/>
    <w:rsid w:val="005C76DA"/>
    <w:rsid w:val="007D5726"/>
    <w:rsid w:val="009E47C8"/>
    <w:rsid w:val="00AB14AC"/>
    <w:rsid w:val="00AD49D0"/>
    <w:rsid w:val="00C236B0"/>
    <w:rsid w:val="00CF3A7A"/>
    <w:rsid w:val="00D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43A83"/>
  <w15:chartTrackingRefBased/>
  <w15:docId w15:val="{570A5BCD-76B9-4D33-BBBF-ABDAB5C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4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764BC"/>
  </w:style>
  <w:style w:type="paragraph" w:styleId="a6">
    <w:name w:val="footer"/>
    <w:basedOn w:val="a"/>
    <w:link w:val="a7"/>
    <w:uiPriority w:val="99"/>
    <w:unhideWhenUsed/>
    <w:rsid w:val="0057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764BC"/>
  </w:style>
  <w:style w:type="paragraph" w:styleId="a8">
    <w:name w:val="No Spacing"/>
    <w:uiPriority w:val="1"/>
    <w:qFormat/>
    <w:rsid w:val="00AD49D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Елена Пономаренко</cp:lastModifiedBy>
  <cp:revision>2</cp:revision>
  <dcterms:created xsi:type="dcterms:W3CDTF">2024-07-03T19:52:00Z</dcterms:created>
  <dcterms:modified xsi:type="dcterms:W3CDTF">2024-07-03T19:52:00Z</dcterms:modified>
</cp:coreProperties>
</file>