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УКАЗ ПРЕЗИДЕНТА УКРАЇНИ №580/2015</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Про Стратегію національно-патріотичного виховання дітей та молоді на 2016 — 2020 роки</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 метою виховання громадянина-патріота України, утвердження любові до Батьківщини, духовності, моральності, шанобливого ставлення до національних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системної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постановляю:</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1. Затвердити Стратегію національно-патріотичного виховання дітей та молоді на 2016 — 2020 роки (додається).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2. Кабінету Міністрів України: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1) розробити за участю представників державних органів, органів місцевого самоврядування, організацій громадянського суспільства, провідних вітчизняних учених та затвердити: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у двомісячний строк — план дій щодо реалізації Стратегії національно-патріотичного виховання дітей та молоді на 2016 — 2020 роки;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до 31 грудня 2015 року — державну цільову програму з національно-патріотичного виховання дітей та молоді на 2016 — 2020 роки;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2) забезпечувати щороку підготовку та оприлюднення до 14 жовтня звіту про виконання у поточному році плану дій щодо реалізації Стратегії національно-патріотичного виховання дітей та молоді на 2016 — 2020 роки;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3) опрацювати питання стосовно визначення центрального органу виконавчої влади з виконання функцій щодо координації заходів, здійснюваних органами виконавчої влади з національно-патріотичного виховання дітей та молоді.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3. Обласним, Київській міській державним адміністраціям активізувати на відповідній території роботу з національно-патріотичного виховання дітей та молоді, створивши для цього, зокрема, координаційні центри як допоміжні органи та залучивши до їх діяльності представників громадськості.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4. Цей Указ набирає чинності з дня його опублікування.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Президент України П.ПОРОШЕНКО</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13 жовтня 2015 року</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ЗАТВЕРДЖЕНО</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Указом Президента України від 13 жовтня 2015 року  № 580/2015</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lastRenderedPageBreak/>
        <w:t>СТРАТЕГІЯ національно-патріотичного виховання дітей та молоді на 2016 — 2020 роки</w:t>
      </w:r>
    </w:p>
    <w:p w:rsidR="008B0C1D" w:rsidRDefault="008B0C1D" w:rsidP="00497D07">
      <w:pPr>
        <w:rPr>
          <w:rFonts w:ascii="Times New Roman" w:hAnsi="Times New Roman" w:cs="Times New Roman"/>
          <w:sz w:val="26"/>
          <w:szCs w:val="26"/>
          <w:lang w:val="uk-UA"/>
        </w:rPr>
      </w:pPr>
    </w:p>
    <w:p w:rsidR="008B0C1D" w:rsidRDefault="008B0C1D"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1. Загальні положення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 xml:space="preserve">В Україні національно-патріотичне виховання дітей та молоді має стати одним із пріоритетних </w:t>
      </w:r>
      <w:bookmarkStart w:id="0" w:name="_GoBack"/>
      <w:bookmarkEnd w:id="0"/>
      <w:r w:rsidRPr="00D16DC4">
        <w:rPr>
          <w:rFonts w:ascii="Times New Roman" w:hAnsi="Times New Roman" w:cs="Times New Roman"/>
          <w:sz w:val="26"/>
          <w:szCs w:val="26"/>
          <w:lang w:val="uk-UA"/>
        </w:rPr>
        <w:t xml:space="preserve">напрямів діяльності держави та суспільства щодо розвитку громадянина як високоморальної особистості, яка плекає українські традиції, </w:t>
      </w:r>
      <w:r w:rsidRPr="00D16DC4">
        <w:rPr>
          <w:rFonts w:ascii="Times New Roman" w:hAnsi="Times New Roman" w:cs="Times New Roman"/>
          <w:sz w:val="26"/>
          <w:szCs w:val="26"/>
          <w:highlight w:val="yellow"/>
          <w:lang w:val="uk-UA"/>
        </w:rPr>
        <w:t>духовні цінності</w:t>
      </w:r>
      <w:r w:rsidRPr="00D16DC4">
        <w:rPr>
          <w:rFonts w:ascii="Times New Roman" w:hAnsi="Times New Roman" w:cs="Times New Roman"/>
          <w:sz w:val="26"/>
          <w:szCs w:val="26"/>
          <w:lang w:val="uk-UA"/>
        </w:rPr>
        <w:t>, володіє відповідними знаннями, вміннями та навичками, здатна реалізувати свій потенціал в умовах сучасного суспільства, сповідує європейські цінності, готова до виконання обов’язку із захисту Батьківщини, незалежності та територіальної цілісності України.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Національно-патріотичне виховання має набути характеру системної і цілеспрямованої діяльності органів державної влади, органів місцевого самоврядування, навчальних закладів,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 xml:space="preserve">Основними складовими національно-патріотичного виховання мають стати громадянсько-патріотичне, військово-патріотичне, </w:t>
      </w:r>
      <w:r w:rsidRPr="00D16DC4">
        <w:rPr>
          <w:rFonts w:ascii="Times New Roman" w:hAnsi="Times New Roman" w:cs="Times New Roman"/>
          <w:sz w:val="26"/>
          <w:szCs w:val="26"/>
          <w:highlight w:val="yellow"/>
          <w:lang w:val="uk-UA"/>
        </w:rPr>
        <w:t>духовно-моральне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Формування ціннісних орієнтирів і громадянської самосвідомості у дітей та молоді повинно здійснюватися на прикладах героїчної боротьби Українського народу за самовизначення і творення власної держави, ідеалів свободи, соборності та державності, успадкованих, зокрема, від княжої доби, українських козаків, Українських Січових Стрільців, армій Української Народної Республіки та Західноукраїнської Народної Республіки, учасників антибільшовицьких селянських повстань, загонів Карпатської Січі, Української повстанської армії, українців-повстанців у сталінських концтаборах, учасників дисидентського руху в Україні. Також національно-патріотичне виховання має здійснюватися на прикладах мужності та героїзму учасників революційних подій в Україні у 2004, 2013-2014 роках, учасників антитерористичної операції в Донецькій та Луганській областях.</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У національно-патріотичному вихованні дітей та молоді важливо використати і виховний потенціал, пов’язаний із героїзмом українців, які боролися в арміях держав — учасників Антигітлерівської коаліції та в рухах опору нацистській Німеччині та її союзникам під час Другої світової війни 1939 — 1945 років, учасників міжнародних операцій з підтримки миру і безпеки.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lastRenderedPageBreak/>
        <w:t>Також 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Стратегія національно-патріотичного виховання дітей та молоді на 2016 — 2020 роки (далі — Стратегія) розроблена відповідно до положень Конституції України, законів України «Про освіту»,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увічнення перемоги над нацизмом у Другій світовій війні 1939 — 1945 років», Постанови Верховної Ради України від 12 травня 2015 року № 373-УІІІ «Про вшанування героїв АТО та вдосконалення національно-патріотичного виховання дітей та молоді» та інших нормативно- правових актів, а також на основі аналізу стану і проблем національно-патріотичного виховання в Україні за часів її незалежності.</w:t>
      </w:r>
    </w:p>
    <w:p w:rsidR="008B0C1D" w:rsidRDefault="008B0C1D"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2. Стан і проблеми національно-патріотичного виховання дітей та молоді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Досвід державної політики впродовж усіх років незалежності України засвідчив, що національно-патріотичному вихованню дітей та молоді не приділялось достатньої уваги.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У зв’язку з цим актуалізувалася низка таких проблем:</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відсутність ефективного механізму формування та реалізації державної політики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брак комунікацій з громадянським суспільством з питань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недостатні зусилля держави у сфері політики консолідації суспільства, формування активної громадянської позиції та національно-патріотичної свідомості громадян України, особливо дітей і молоді;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highlight w:val="yellow"/>
          <w:lang w:val="uk-UA"/>
        </w:rPr>
        <w:t>брак духовності і моральності у суспільстві;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наявність істотних відмінностей у системах цінностей, світоглядних орієнтирах груп суспільства, населення певних територій держави, окремих громадян;</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наявність імперсько-тоталітарних рудиментів у суспільній свідомості та зумовлених нищенням української духовно-культурної спадщини та історичної пам’яті розбіжностей в уявленнях про історичне минуле, зокрема про тоталітарну добу, голодомори і політичні репресії;</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незавершеність процесу формування національного мовно-культурного простору, стійкості його ціннісної основи до зовнішнього втручання;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lastRenderedPageBreak/>
        <w:t>відсутність єдиної державної інформаційно-просвітницької політики щодо питань організації та висвітлення заходів із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перетворення інформаційного простору на поле маніпуляцій суспільною свідомістю, продукування ціннісної дезорієнтації;</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недостатня нормативно-правова урегульованість сфери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недостатній рівень гармонізації законодавства й управлінських практик у сфері формування громадянської позиції з законодавством та кращими практиками держав Європейського Союзу та інших розвинутих держав;</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відсутність єдиних методичного та термінологічного підходів до процесу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відсутність єдиних стандартів щодо процесів, суб’єктів, їх компетенції та повноважень, якості діяльності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недостатність кваліфікованого кадрового потенціалу в органах державної влади, органах місцевого самоврядування, у навчальних закладах для організації та здійснення заходів із національно-патріотичного виховання, нерозвиненість низової ланки в системі координації виховних процесів у цьому напрямі;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низький рівень матеріально-технічного забезпечення та розвитку інфраструктури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Відтак, існує нагальна потреба вдосконалення національно-патріотичного виховання дітей та молоді, надання цьому вкрай важливому для держави процесу системності.</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3. Мета Стратегії</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Метою Стратегії є визначення пріоритетів та основних напрямів національно-патріотичного виховання дітей та молоді, розвитку відповідних інститутів держави і суспільства, забезпечення змістового наповнення національно-патріотичного виховання на основі:</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формування національно-культурної ідентичності, національно-патріотичного світогляду, збереження та розвитку духовно-моральних цінностей Українського народу;</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усвідомлення досягнень Українського народу, його інтелектуальних і духовних надбань;</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розвитку діяльнісної відданості у розбудові України, формування у дітей і молоді активної громадянської, державницької позиції та почуття власної гідності;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скоординованої роботи та взаємодії органів державної влади та органів місцевого самоврядування у сфері національно-патріотичного виховання, їх ефективної співпраці з громадськістю;</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lastRenderedPageBreak/>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забезпечення системних змін, досягнення високої якості, ефективності, цілеспрямованого та прогнозованого розвитку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4. Основні напрями досягнення мети Стратегії</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Досягнення мети Стратегії здійснюватиметься за такими основними напрямами: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удосконалення нормативно-правової бази стосовно національно-патріотичного виховання дітей і молоді;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підвищення ролі української мови як національної цінності; забезпечення належної організації науково-дослідної та методичної роботи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вивчення сучасних виховних систем, технологій і методик у сфері національно-патріотичного виховання, узагальнення та поширення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найкращого досвіду у цій сфері;</w:t>
      </w:r>
    </w:p>
    <w:p w:rsidR="00497D07" w:rsidRPr="00D16DC4" w:rsidRDefault="00497D07" w:rsidP="00497D07">
      <w:pPr>
        <w:rPr>
          <w:rFonts w:ascii="Times New Roman" w:hAnsi="Times New Roman" w:cs="Times New Roman"/>
          <w:sz w:val="26"/>
          <w:szCs w:val="26"/>
          <w:lang w:val="uk-UA"/>
        </w:rPr>
      </w:pPr>
      <w:r w:rsidRPr="00650ABE">
        <w:rPr>
          <w:rFonts w:ascii="Times New Roman" w:hAnsi="Times New Roman" w:cs="Times New Roman"/>
          <w:sz w:val="26"/>
          <w:szCs w:val="26"/>
          <w:highlight w:val="yellow"/>
          <w:lang w:val="uk-UA"/>
        </w:rPr>
        <w:t>впровадження навчальних дисциплін духовно-морального спрямування як основи формування особистості та підгрунтя для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формування єдиних стандартів діяльності у сфері національно-патріотичного виховання та інструментів їх впровадження;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підвищення професійної компетентності фахівців у сфері національно-патріотичного виховання, налагодження конструктивної взаємодії між суб’єктами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забезпечення умов і підтримки з боку держави для ефективної діяльності інститутів громадянського суспільства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забезпечення оптимальної скоординованої діяльності органів державної влади та органів місцевого самоврядування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організація та координація інформаційно-просвітницької роботи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здійснення заходів, спрямованих на підвищення престижу військової служби;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упорядкування та вдосконалення системи допризовної військової підготовки, підготовки з військово-облікових спеціальностей;</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профілактика негативних проявів поведінки, злочинності, наркоманії, алкоголізму серед дітей та молоді шляхом залучення дітей і молоді до участі у заходах із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lastRenderedPageBreak/>
        <w:t>розвиток міжнародної співпраці з державами Європейського Союзу та іншими розвинутими державами, які успішно впроваджують заходи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створення системи ефективного моніторингу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5. Цільові групи Стратегії</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Цільовими групами Стратегії є молоді громадяни, які визначають свої життєві перспективи та потребують насамперед світоглядної опори, що не суперечить їхньому практичному досвіду, але розкриває нові можливості, а також діти з огляду на актуальність для них прикладів для наслідування, способів поведінки, що дають їм визнання в колективі однолітків і серед дорослих.</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6. Сфери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Національно-патріотичне виховання має охоплювати насамперед такі сфери: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освіта;</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наука;</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культура та мистецтво;</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профорієнтація на військові спеціальності;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історія, вшанування пам’ятних дат та історичних постатей;</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краєзнавство;</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туризм;</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охорона довкілля;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фізкультура, спорт, популяризація здорового способу життя;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цивільна оборона;</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оборона України.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Національно-патріотичне виховання дітей та молоді має здійснюватися згідно з розробленими відповідними центральними органами виконавчої влади концепціями, заходами у відповідних сферах національно-патріотичного виховання, із залученням провідних вчених, незалежних експертів, із урахуванням міжнародного досвіду.</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7. Стандарти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 xml:space="preserve">У сфері національно-патріотичного виховання дітей та молоді мають бути розроблені уповноваженим центральним органом виконавчої влади за участю вчених, незалежних експертів, з урахуванням кращого міжнародного досвіду успішних демократичних держав та </w:t>
      </w:r>
      <w:r w:rsidRPr="00D16DC4">
        <w:rPr>
          <w:rFonts w:ascii="Times New Roman" w:hAnsi="Times New Roman" w:cs="Times New Roman"/>
          <w:sz w:val="26"/>
          <w:szCs w:val="26"/>
          <w:lang w:val="uk-UA"/>
        </w:rPr>
        <w:lastRenderedPageBreak/>
        <w:t>упроваджені єдині стандарти, зокрема щодо засобів і способів, форм і методів національно-патріотичного виховання, оцінки досягнень відповідних суб’єктів у цій сфері та їх компетентності.</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8. Шляхи та механізми реалізації Стратегії</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Для об’єднання зусиль органів державної влади, органів місцевого самоврядування у сфері національно-патріотичного виховання існує потреба у впровадженні єдиної державної політики, адекватних механізмів для консолідації і координації відповідної роботи в економічній, політичній, соціальній, культурній та інших сферах.</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Ефективна реалізація Стратегії потребує:</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чіткої координації діяльності центральних і місцевих органів виконавчої влади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здійснення заходів з активізації національно-патріотичного виховання дітей та молоді на всіх рівнях такої діяльності у тісній взаємодії між державою та інститутами громадянського суспільства на принципах взаємозацікавленого співробітництва;</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підвищення рівня організації, покращення функціонування як окремих елементів системи національно-патріотичного виховання, так і всієї системи в цілому;</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створення механізму підтримки об’єднань, центрів, клубів, діяльність яких пов’язана з національно-патріотичним вихованням дітей та молоді;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розроблення системи заохочення громадських об’єднань та активістів за плідну діяльність у сфері національно-патріотичного виховання дітей і молоді.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Для цього має бути розроблено дієвий механізм формування і реалізації державної політики, зокрема опрацьовано питання щодо визначення центрального органу виконавчої влади, на який буде покладено здійснення такої координації, проведення грунтовного дослідження сучасного стану національно-патріотичного виховання дітей та молоді, організацію його поточного моніторингу.</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Активізація роботи з національно-патріотичного виховання дітей та молоді на місцевому рівні потребує створення місцевими державними адміністраціями координаційних рад з питань національно-патріотичного виховання як дорадчих органів при місцевих державних адміністраціях із залученням до складу таких рад фахівців з питань освіти, молодіжної політики, фізичної культури та спорту, культури та мистецтва, запобігання надзвичайним ситуаціям, представників Товариства сприяння обороні України, а також інститутів громадянського суспільства відповідного спрямування.</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9. Підвищення кваліфікації та професійної компетентності фахівців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lastRenderedPageBreak/>
        <w:t>Важливим кроком реалізації Стратегії є кадрове забезпечення процесу національно-патріотичного виховання дітей та молоді. У зв’язку з цим на початковому етапі розбудови системи національно-патріотичного виховання зусилля державних органів і неурядових організацій мають бути зосереджені на організації підготовки фахівців із національно-патріотичного виховання дітей та молоді, підвищенні кваліфікації фахівців, які працюють у цій сфері, оволодінні ними знаннями, уміннями і навичками, розробленні для цього відповідних навчальних програм, що забезпечить ефективне впровадження змісту національно-патріотичного виховання, визначеного Стратегією.</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Удосконалення професійної компетентності фахівців із національно-патріотичного виховання має відбуватися за допомогою сучасних інтерактивних форм і методів роботи.</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10. Удосконалення нормативно-правової бази з національно-патріотичного виховання дітей і молоді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Дальше вдосконалення нормативно-правової бази з питань національно-патріотичного виховання має відбуватися комплексно та у стислий період часу шляхом підготовки нових та внесення змін до чинних нормативно-правових актів щодо:</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закріплення в установленому порядку завдань та повноважень центральних органів виконавчої влади та органів місцевого самоврядування у сфері національно-патріотичного виховання;</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створення єдиної нормативно-правової основи національно-патріотичного виховання в системі освіти;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визначення механізму взаємодії органів виконавчої влади, органів місцевого самоврядування та інститутів громадянського суспільства у сфері національно-патріотичного виховання.</w:t>
      </w:r>
    </w:p>
    <w:p w:rsidR="008B0C1D" w:rsidRDefault="008B0C1D"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11. Реалізація, моніторинг за впровадженням Стратегії</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Реалізація Стратегії забезпечуватиметься спільними зусиллями органів державної влади, органів місцевого самоврядування та інститутів громадянського суспільства.</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Для здійснення моніторингу реалізації Стратегії залучатимуться в установленому порядку представники інститутів громадянського суспільства, вчені, фахівці.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Оцінка ефективності реалізації Стратегії грунтуватиметься на результатах виконання відповідного плану дій.</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Індикаторами ефективності реалізації заходів із національно-патріотичного виховання дітей та молоді мають стати, зокрема:</w:t>
      </w:r>
    </w:p>
    <w:p w:rsidR="00497D07" w:rsidRPr="00D16DC4" w:rsidRDefault="00497D07" w:rsidP="00497D07">
      <w:pPr>
        <w:rPr>
          <w:rFonts w:ascii="Times New Roman" w:hAnsi="Times New Roman" w:cs="Times New Roman"/>
          <w:sz w:val="26"/>
          <w:szCs w:val="26"/>
          <w:lang w:val="uk-UA"/>
        </w:rPr>
      </w:pP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збільшення відвідуваності дітьми та молоддю закладів, що популяризують культурні та національно-мистецькі традиції Українського народу, а також експозицій музеїв, присвячених національно-визвольній боротьбі за незалежність і територіальну цілісність України;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lastRenderedPageBreak/>
        <w:t xml:space="preserve">підвищення рівня знань у дітей і 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w:t>
      </w:r>
      <w:r w:rsidRPr="008B0C1D">
        <w:rPr>
          <w:rFonts w:ascii="Times New Roman" w:hAnsi="Times New Roman" w:cs="Times New Roman"/>
          <w:sz w:val="26"/>
          <w:szCs w:val="26"/>
          <w:highlight w:val="yellow"/>
          <w:lang w:val="uk-UA"/>
        </w:rPr>
        <w:t>також духовних провідників Українського народу;</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збільшення передплати та обсягів розповсюдження україномовних дитячих і молодіжних друкованих видань;</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збільшення кількості глядачів на переглядах творів кіномистецтва, що розкривають героїчне минуле та сьогодення Українського народу;</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розширення сфери застосування української мови дітьми та молоддю; збільшення кількості дітей і молоді, які пишаються своїм українським походженням, громадянством;</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збільшення кількості дітей і молоді, які подорожують в інші регіони України та до держав Європейського Союзу;</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збільшення чисельності членів громадських об’єднань, діяльність яких спрямована на національно-патріотичне виховання дітей та молоді;</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збільшення кількості проведених зустрічей дітей і молоді з ветеранами війни, борцями за незалежність України у XX столітті, учасниками антитерористичної операції в Донецькій та Луганській областях;</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збільшення чисельності молоді, готової до виконання обов’язку із захисту Батьківщини, незалежності та територіальної цілісності України;</w:t>
      </w:r>
    </w:p>
    <w:p w:rsidR="00497D07"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збільшення кількості заходів із вшанування героїв боротьби Українського народу за незалежність і територіальну цілісність України.</w:t>
      </w:r>
    </w:p>
    <w:p w:rsidR="00497D07" w:rsidRPr="00D16DC4" w:rsidRDefault="00497D07" w:rsidP="00497D07">
      <w:pPr>
        <w:rPr>
          <w:rFonts w:ascii="Times New Roman" w:hAnsi="Times New Roman" w:cs="Times New Roman"/>
          <w:sz w:val="26"/>
          <w:szCs w:val="26"/>
          <w:lang w:val="uk-UA"/>
        </w:rPr>
      </w:pPr>
    </w:p>
    <w:p w:rsidR="007C5079" w:rsidRPr="00D16DC4" w:rsidRDefault="00497D07" w:rsidP="00497D07">
      <w:pPr>
        <w:rPr>
          <w:rFonts w:ascii="Times New Roman" w:hAnsi="Times New Roman" w:cs="Times New Roman"/>
          <w:sz w:val="26"/>
          <w:szCs w:val="26"/>
          <w:lang w:val="uk-UA"/>
        </w:rPr>
      </w:pPr>
      <w:r w:rsidRPr="00D16DC4">
        <w:rPr>
          <w:rFonts w:ascii="Times New Roman" w:hAnsi="Times New Roman" w:cs="Times New Roman"/>
          <w:sz w:val="26"/>
          <w:szCs w:val="26"/>
          <w:lang w:val="uk-UA"/>
        </w:rPr>
        <w:t>Глава Адміністрації Президента України Б.ЛОЖКІН</w:t>
      </w:r>
    </w:p>
    <w:sectPr w:rsidR="007C5079" w:rsidRPr="00D16DC4" w:rsidSect="00497D07">
      <w:pgSz w:w="11906" w:h="16838"/>
      <w:pgMar w:top="426"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67"/>
    <w:rsid w:val="003918A2"/>
    <w:rsid w:val="00470132"/>
    <w:rsid w:val="00497D07"/>
    <w:rsid w:val="00650ABE"/>
    <w:rsid w:val="007C5079"/>
    <w:rsid w:val="008B0C1D"/>
    <w:rsid w:val="00B428FF"/>
    <w:rsid w:val="00C15667"/>
    <w:rsid w:val="00D16DC4"/>
    <w:rsid w:val="00FB40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2882</Words>
  <Characters>17292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2018-12-17T11:34:00Z</dcterms:created>
  <dcterms:modified xsi:type="dcterms:W3CDTF">2018-12-24T11:16:00Z</dcterms:modified>
</cp:coreProperties>
</file>